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5539A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5539A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D5539A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D5539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D5539A" w:rsidRPr="00D5539A">
        <w:rPr>
          <w:rFonts w:ascii="宋体" w:hAnsi="宋体" w:hint="eastAsia"/>
          <w:color w:val="000000"/>
          <w:sz w:val="28"/>
          <w:szCs w:val="28"/>
        </w:rPr>
        <w:t>1,358,145,020.00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D5539A" w:rsidRPr="00D5539A" w:rsidRDefault="00D5539A" w:rsidP="00D5539A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中国建设银行</w:t>
      </w:r>
      <w:r w:rsidRPr="00D5539A">
        <w:rPr>
          <w:rFonts w:asciiTheme="majorEastAsia" w:eastAsiaTheme="majorEastAsia" w:hAnsiTheme="majorEastAsia" w:hint="eastAsia"/>
          <w:sz w:val="28"/>
          <w:szCs w:val="28"/>
        </w:rPr>
        <w:t>于2018年3月5日（含）起，调整“乾元—满溢”60天开放式资产组合型人民币理财产品（机构版）客户</w:t>
      </w:r>
      <w:proofErr w:type="gramStart"/>
      <w:r w:rsidRPr="00D5539A">
        <w:rPr>
          <w:rFonts w:asciiTheme="majorEastAsia" w:eastAsiaTheme="majorEastAsia" w:hAnsiTheme="majorEastAsia" w:hint="eastAsia"/>
          <w:sz w:val="28"/>
          <w:szCs w:val="28"/>
        </w:rPr>
        <w:t>预期年化收益率</w:t>
      </w:r>
      <w:proofErr w:type="gramEnd"/>
      <w:r w:rsidRPr="00D5539A">
        <w:rPr>
          <w:rFonts w:asciiTheme="majorEastAsia" w:eastAsiaTheme="majorEastAsia" w:hAnsiTheme="majorEastAsia" w:hint="eastAsia"/>
          <w:sz w:val="28"/>
          <w:szCs w:val="28"/>
        </w:rPr>
        <w:t>，具体如下表：</w:t>
      </w:r>
    </w:p>
    <w:p w:rsidR="00D5539A" w:rsidRPr="00D5539A" w:rsidRDefault="00D5539A" w:rsidP="00D5539A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4148" w:type="pct"/>
        <w:jc w:val="center"/>
        <w:tblInd w:w="-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2693"/>
        <w:gridCol w:w="2443"/>
      </w:tblGrid>
      <w:tr w:rsidR="00D5539A" w:rsidRPr="00D5539A" w:rsidTr="00D5539A">
        <w:trPr>
          <w:trHeight w:val="20"/>
          <w:tblHeader/>
          <w:jc w:val="center"/>
        </w:trPr>
        <w:tc>
          <w:tcPr>
            <w:tcW w:w="1934" w:type="dxa"/>
            <w:vAlign w:val="center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档期设置</w:t>
            </w:r>
          </w:p>
        </w:tc>
        <w:tc>
          <w:tcPr>
            <w:tcW w:w="2693" w:type="dxa"/>
            <w:vAlign w:val="center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客户</w:t>
            </w:r>
            <w:proofErr w:type="gramStart"/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预期年化收益率</w:t>
            </w:r>
            <w:proofErr w:type="gramEnd"/>
          </w:p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（调整前）</w:t>
            </w:r>
          </w:p>
        </w:tc>
        <w:tc>
          <w:tcPr>
            <w:tcW w:w="2443" w:type="dxa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客户</w:t>
            </w:r>
            <w:proofErr w:type="gramStart"/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预期年化收益率</w:t>
            </w:r>
            <w:proofErr w:type="gramEnd"/>
          </w:p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（调整后）</w:t>
            </w:r>
          </w:p>
        </w:tc>
      </w:tr>
      <w:tr w:rsidR="00D5539A" w:rsidRPr="00D5539A" w:rsidTr="00D5539A">
        <w:trPr>
          <w:trHeight w:val="20"/>
          <w:jc w:val="center"/>
        </w:trPr>
        <w:tc>
          <w:tcPr>
            <w:tcW w:w="1934" w:type="dxa"/>
            <w:vAlign w:val="center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8"/>
              </w:rPr>
              <w:t>60天</w:t>
            </w:r>
          </w:p>
        </w:tc>
        <w:tc>
          <w:tcPr>
            <w:tcW w:w="2693" w:type="dxa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4.35%</w:t>
            </w:r>
          </w:p>
        </w:tc>
        <w:tc>
          <w:tcPr>
            <w:tcW w:w="2443" w:type="dxa"/>
            <w:hideMark/>
          </w:tcPr>
          <w:p w:rsidR="00D5539A" w:rsidRPr="00D5539A" w:rsidRDefault="00D5539A" w:rsidP="009D3F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8"/>
              </w:rPr>
            </w:pPr>
            <w:r w:rsidRPr="00D5539A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8"/>
              </w:rPr>
              <w:t>4.65%</w:t>
            </w:r>
          </w:p>
        </w:tc>
      </w:tr>
    </w:tbl>
    <w:p w:rsidR="00D5539A" w:rsidRPr="00D5539A" w:rsidRDefault="00D5539A" w:rsidP="00D5539A">
      <w:pPr>
        <w:spacing w:line="56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D5539A" w:rsidRPr="00D5539A" w:rsidRDefault="00D5539A" w:rsidP="00D5539A">
      <w:pPr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新客户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于</w:t>
      </w:r>
      <w:r w:rsidRPr="00D5539A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（含）起执行。对于</w:t>
      </w:r>
      <w:r w:rsidRPr="00D5539A">
        <w:rPr>
          <w:rFonts w:asciiTheme="majorEastAsia" w:eastAsiaTheme="majorEastAsia" w:hAnsiTheme="majorEastAsia" w:hint="eastAsia"/>
          <w:sz w:val="28"/>
          <w:szCs w:val="28"/>
        </w:rPr>
        <w:t>2018年3月5日（不含）</w:t>
      </w:r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前已经购买成功且未赎回的存量投资本金，其中封闭期内的份额仍按照购买确认日当日的客户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计算投资收益，非封闭期内的份额从</w:t>
      </w:r>
      <w:r w:rsidRPr="00D5539A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（含）起按调整后的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计算投资收益。</w:t>
      </w:r>
      <w:r w:rsidRPr="00D5539A">
        <w:rPr>
          <w:rFonts w:asciiTheme="majorEastAsia" w:eastAsiaTheme="majorEastAsia" w:hAnsiTheme="majorEastAsia" w:hint="eastAsia"/>
          <w:sz w:val="28"/>
          <w:szCs w:val="28"/>
        </w:rPr>
        <w:t>2018年3月5日</w:t>
      </w:r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（含）后购买的部分自动执行调整后的客户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预期年化收益率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行最终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支付的</w:t>
      </w:r>
      <w:proofErr w:type="gramStart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实际年化收益率</w:t>
      </w:r>
      <w:proofErr w:type="gramEnd"/>
      <w:r w:rsidRPr="00D5539A">
        <w:rPr>
          <w:rFonts w:asciiTheme="majorEastAsia" w:eastAsiaTheme="majorEastAsia" w:hAnsiTheme="majorEastAsia" w:hint="eastAsia"/>
          <w:color w:val="000000"/>
          <w:sz w:val="28"/>
          <w:szCs w:val="28"/>
        </w:rPr>
        <w:t>为准。</w:t>
      </w:r>
    </w:p>
    <w:p w:rsidR="00671916" w:rsidRPr="00EE774A" w:rsidRDefault="00671916" w:rsidP="0067191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3B2DEA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275477A" wp14:editId="52020326">
            <wp:extent cx="2895600" cy="158115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3B2DEA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DF4AFCE" wp14:editId="2D36DC3E">
            <wp:extent cx="3028950" cy="17335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71916" w:rsidRPr="005622F6" w:rsidRDefault="003B2DEA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DFF55B4" wp14:editId="028D15FB">
            <wp:extent cx="5276850" cy="15621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063392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5539A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D5539A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13" w:rsidRDefault="00A72713" w:rsidP="00671916">
      <w:r>
        <w:separator/>
      </w:r>
    </w:p>
  </w:endnote>
  <w:endnote w:type="continuationSeparator" w:id="0">
    <w:p w:rsidR="00A72713" w:rsidRDefault="00A72713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13" w:rsidRDefault="00A72713" w:rsidP="00671916">
      <w:r>
        <w:separator/>
      </w:r>
    </w:p>
  </w:footnote>
  <w:footnote w:type="continuationSeparator" w:id="0">
    <w:p w:rsidR="00A72713" w:rsidRDefault="00A72713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5175F"/>
    <w:rsid w:val="00063392"/>
    <w:rsid w:val="000A3275"/>
    <w:rsid w:val="000A41BE"/>
    <w:rsid w:val="000E6AD2"/>
    <w:rsid w:val="00153C80"/>
    <w:rsid w:val="001C5F6A"/>
    <w:rsid w:val="0027764F"/>
    <w:rsid w:val="002C4585"/>
    <w:rsid w:val="00356E1F"/>
    <w:rsid w:val="00380EEE"/>
    <w:rsid w:val="003B2DEA"/>
    <w:rsid w:val="00411F82"/>
    <w:rsid w:val="004776DB"/>
    <w:rsid w:val="00546090"/>
    <w:rsid w:val="00551CA5"/>
    <w:rsid w:val="005D0FC1"/>
    <w:rsid w:val="006004AF"/>
    <w:rsid w:val="00657FE0"/>
    <w:rsid w:val="00671916"/>
    <w:rsid w:val="00714A59"/>
    <w:rsid w:val="007A1653"/>
    <w:rsid w:val="008452C4"/>
    <w:rsid w:val="00863E8E"/>
    <w:rsid w:val="008742FF"/>
    <w:rsid w:val="009F79EA"/>
    <w:rsid w:val="00A66F45"/>
    <w:rsid w:val="00A72713"/>
    <w:rsid w:val="00AB2BFC"/>
    <w:rsid w:val="00AE02C6"/>
    <w:rsid w:val="00B201C2"/>
    <w:rsid w:val="00B549E1"/>
    <w:rsid w:val="00B54B3E"/>
    <w:rsid w:val="00B747C4"/>
    <w:rsid w:val="00BC7EE7"/>
    <w:rsid w:val="00C56AEE"/>
    <w:rsid w:val="00C608AD"/>
    <w:rsid w:val="00CB6672"/>
    <w:rsid w:val="00D5539A"/>
    <w:rsid w:val="00E1168D"/>
    <w:rsid w:val="00E1666D"/>
    <w:rsid w:val="00E368F2"/>
    <w:rsid w:val="00ED5682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846823561138741E-2"/>
          <c:y val="0.15274415059236962"/>
          <c:w val="0.59386786613011311"/>
          <c:h val="0.80116406764770476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'2018年3月'!$A$164:$A$166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'2018年3月'!$B$164:$B$166</c:f>
              <c:numCache>
                <c:formatCode>0.00%</c:formatCode>
                <c:ptCount val="3"/>
                <c:pt idx="0">
                  <c:v>5.7975602873413384E-2</c:v>
                </c:pt>
                <c:pt idx="1">
                  <c:v>0.52087160613716521</c:v>
                </c:pt>
                <c:pt idx="2">
                  <c:v>0.42115279098818648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'2018年3月'!$A$174:$A$175</c:f>
              <c:strCache>
                <c:ptCount val="2"/>
                <c:pt idx="0">
                  <c:v>AA-</c:v>
                </c:pt>
                <c:pt idx="1">
                  <c:v>AA</c:v>
                </c:pt>
              </c:strCache>
            </c:strRef>
          </c:cat>
          <c:val>
            <c:numRef>
              <c:f>'2018年3月'!$B$174:$B$175</c:f>
              <c:numCache>
                <c:formatCode>0.00%</c:formatCode>
                <c:ptCount val="2"/>
                <c:pt idx="0">
                  <c:v>0.20213848577363278</c:v>
                </c:pt>
                <c:pt idx="1">
                  <c:v>0.7978615142263672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325558361808554"/>
          <c:y val="0.30618788036110872"/>
          <c:w val="0.15016424833688236"/>
          <c:h val="0.32729254996971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607402674473058"/>
          <c:y val="0.10597302504816955"/>
          <c:w val="0.60734560539672489"/>
          <c:h val="0.652681565093380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'2018年3月'!$B$180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'2018年3月'!$A$181:$A$183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'2018年3月'!$B$181:$B$183</c:f>
              <c:numCache>
                <c:formatCode>0.00%</c:formatCode>
                <c:ptCount val="3"/>
                <c:pt idx="0">
                  <c:v>0</c:v>
                </c:pt>
                <c:pt idx="1">
                  <c:v>2.7881170451535556E-2</c:v>
                </c:pt>
                <c:pt idx="2">
                  <c:v>0.9721188295484644</c:v>
                </c:pt>
              </c:numCache>
            </c:numRef>
          </c:val>
        </c:ser>
        <c:ser>
          <c:idx val="1"/>
          <c:order val="1"/>
          <c:tx>
            <c:strRef>
              <c:f>'2018年3月'!$C$180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'2018年3月'!$A$181:$A$183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'2018年3月'!$C$181:$C$183</c:f>
              <c:numCache>
                <c:formatCode>0.00%</c:formatCode>
                <c:ptCount val="3"/>
                <c:pt idx="0">
                  <c:v>0.18309485228822792</c:v>
                </c:pt>
                <c:pt idx="1">
                  <c:v>0.29295176366116465</c:v>
                </c:pt>
                <c:pt idx="2">
                  <c:v>0.52395338405060743</c:v>
                </c:pt>
              </c:numCache>
            </c:numRef>
          </c:val>
        </c:ser>
        <c:ser>
          <c:idx val="2"/>
          <c:order val="2"/>
          <c:tx>
            <c:strRef>
              <c:f>'2018年3月'!$D$180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'2018年3月'!$A$181:$A$183</c:f>
              <c:strCache>
                <c:ptCount val="3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</c:strCache>
            </c:strRef>
          </c:cat>
          <c:val>
            <c:numRef>
              <c:f>'2018年3月'!$D$181:$D$183</c:f>
              <c:numCache>
                <c:formatCode>0.00%</c:formatCode>
                <c:ptCount val="3"/>
                <c:pt idx="0">
                  <c:v>-0.18309485228822792</c:v>
                </c:pt>
                <c:pt idx="1">
                  <c:v>-0.26507059320962911</c:v>
                </c:pt>
                <c:pt idx="2">
                  <c:v>0.44816544549785697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771584"/>
        <c:axId val="123147776"/>
      </c:barChart>
      <c:catAx>
        <c:axId val="66771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3147776"/>
        <c:crosses val="autoZero"/>
        <c:auto val="1"/>
        <c:lblAlgn val="ctr"/>
        <c:lblOffset val="100"/>
        <c:noMultiLvlLbl val="0"/>
      </c:catAx>
      <c:valAx>
        <c:axId val="123147776"/>
        <c:scaling>
          <c:orientation val="minMax"/>
          <c:max val="1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6771584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2018-04-06T03:39:00Z</dcterms:created>
  <dcterms:modified xsi:type="dcterms:W3CDTF">2018-04-06T03:39:00Z</dcterms:modified>
</cp:coreProperties>
</file>